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8E" w:rsidRPr="00D4568E" w:rsidRDefault="00D4568E" w:rsidP="00B534F6">
      <w:pPr>
        <w:rPr>
          <w:b/>
        </w:rPr>
      </w:pPr>
      <w:r w:rsidRPr="00D4568E">
        <w:rPr>
          <w:b/>
        </w:rPr>
        <w:t>Unpaved Road Emissions</w:t>
      </w:r>
    </w:p>
    <w:p w:rsidR="00D4568E" w:rsidRDefault="00D4568E" w:rsidP="00B534F6"/>
    <w:p w:rsidR="00B534F6" w:rsidRDefault="00B534F6" w:rsidP="00B534F6">
      <w:r>
        <w:t xml:space="preserve">Upon reviewing the </w:t>
      </w:r>
      <w:r w:rsidRPr="00A77E6B">
        <w:t>2014v2_allsector_summary_WRAP_crosstab.xlsx</w:t>
      </w:r>
      <w:r>
        <w:t xml:space="preserve"> file, the Wyoming Air Quality Division (AQD) noticed that PM10 emissions seemed high (104,041 tons) in comparison to Colorado (50,692 Tons) and California (92,060 Tons). Due to Colorado and California having higher population and more area, we would expect Wyoming’s unpaved road dust to be lower. The AQD does not calculate mobile emissions </w:t>
      </w:r>
      <w:r w:rsidR="00C63FF0">
        <w:t>but</w:t>
      </w:r>
      <w:r>
        <w:t xml:space="preserve"> instead accepts the default data from EPA meaning that we do not have other data to compare. </w:t>
      </w:r>
    </w:p>
    <w:p w:rsidR="00BA160A" w:rsidRDefault="00BA160A"/>
    <w:p w:rsidR="001770FD" w:rsidRDefault="00D4568E">
      <w:r w:rsidRPr="00D4568E">
        <w:rPr>
          <w:b/>
        </w:rPr>
        <w:t>Representativeness of Point Source Emissions</w:t>
      </w:r>
    </w:p>
    <w:p w:rsidR="001770FD" w:rsidRDefault="001770FD"/>
    <w:p w:rsidR="001770FD" w:rsidRDefault="001770FD" w:rsidP="001770FD">
      <w:r>
        <w:t>The AQD has conduct</w:t>
      </w:r>
      <w:r w:rsidR="00C63FF0">
        <w:t>ed</w:t>
      </w:r>
      <w:r>
        <w:t xml:space="preserve"> a comparison of what seems representative for facilities based on comparing their 2013 to 2014 emissions and 2014 to 2015. Greater than a 30% increase or decrease were considered for review.</w:t>
      </w:r>
      <w:r w:rsidR="008603FC">
        <w:t xml:space="preserve"> For the sake of limiting the scope of comparison, we have looked at the top 80 contributors of NOx and SO2 in </w:t>
      </w:r>
      <w:r w:rsidR="00165891">
        <w:t>2014.</w:t>
      </w:r>
      <w:r>
        <w:t xml:space="preserve"> Some facilities that have variable throughput </w:t>
      </w:r>
      <w:r w:rsidR="00DA5349">
        <w:t>or have undergone facility changes since the 2014 NEI</w:t>
      </w:r>
      <w:r>
        <w:t xml:space="preserve"> have been identified with a more “representative” EI year. We have also identified some sources which have been started up or shut down since 2014. </w:t>
      </w:r>
    </w:p>
    <w:p w:rsidR="001770FD" w:rsidRDefault="001770FD"/>
    <w:tbl>
      <w:tblPr>
        <w:tblStyle w:val="TableGrid"/>
        <w:tblW w:w="10345" w:type="dxa"/>
        <w:tblLook w:val="04A0" w:firstRow="1" w:lastRow="0" w:firstColumn="1" w:lastColumn="0" w:noHBand="0" w:noVBand="1"/>
      </w:tblPr>
      <w:tblGrid>
        <w:gridCol w:w="1109"/>
        <w:gridCol w:w="1136"/>
        <w:gridCol w:w="1980"/>
        <w:gridCol w:w="1870"/>
        <w:gridCol w:w="4250"/>
      </w:tblGrid>
      <w:tr w:rsidR="00991E7D" w:rsidRPr="00991E7D" w:rsidTr="00C63FF0">
        <w:trPr>
          <w:trHeight w:val="600"/>
        </w:trPr>
        <w:tc>
          <w:tcPr>
            <w:tcW w:w="1109" w:type="dxa"/>
            <w:noWrap/>
            <w:hideMark/>
          </w:tcPr>
          <w:p w:rsidR="00991E7D" w:rsidRPr="00F722D2" w:rsidRDefault="00991E7D" w:rsidP="00F722D2">
            <w:pPr>
              <w:rPr>
                <w:b/>
              </w:rPr>
            </w:pPr>
            <w:proofErr w:type="spellStart"/>
            <w:r w:rsidRPr="00F722D2">
              <w:rPr>
                <w:b/>
              </w:rPr>
              <w:t>eis</w:t>
            </w:r>
            <w:proofErr w:type="spellEnd"/>
            <w:r w:rsidRPr="00F722D2">
              <w:rPr>
                <w:b/>
              </w:rPr>
              <w:t xml:space="preserve"> facility id</w:t>
            </w:r>
          </w:p>
        </w:tc>
        <w:tc>
          <w:tcPr>
            <w:tcW w:w="1136" w:type="dxa"/>
            <w:noWrap/>
            <w:hideMark/>
          </w:tcPr>
          <w:p w:rsidR="00991E7D" w:rsidRPr="00F722D2" w:rsidRDefault="00991E7D" w:rsidP="00F722D2">
            <w:pPr>
              <w:rPr>
                <w:b/>
              </w:rPr>
            </w:pPr>
            <w:r w:rsidRPr="00F722D2">
              <w:rPr>
                <w:b/>
              </w:rPr>
              <w:t>agency facility id</w:t>
            </w:r>
          </w:p>
        </w:tc>
        <w:tc>
          <w:tcPr>
            <w:tcW w:w="1980" w:type="dxa"/>
            <w:noWrap/>
            <w:hideMark/>
          </w:tcPr>
          <w:p w:rsidR="00991E7D" w:rsidRPr="00F722D2" w:rsidRDefault="00991E7D" w:rsidP="00F722D2">
            <w:pPr>
              <w:rPr>
                <w:b/>
              </w:rPr>
            </w:pPr>
            <w:r w:rsidRPr="00F722D2">
              <w:rPr>
                <w:b/>
              </w:rPr>
              <w:t>site name</w:t>
            </w:r>
          </w:p>
        </w:tc>
        <w:tc>
          <w:tcPr>
            <w:tcW w:w="1870" w:type="dxa"/>
            <w:hideMark/>
          </w:tcPr>
          <w:p w:rsidR="00991E7D" w:rsidRPr="00F722D2" w:rsidRDefault="00991E7D" w:rsidP="00F722D2">
            <w:pPr>
              <w:rPr>
                <w:b/>
              </w:rPr>
            </w:pPr>
            <w:r w:rsidRPr="00F722D2">
              <w:rPr>
                <w:b/>
              </w:rPr>
              <w:t>Preferred Year</w:t>
            </w:r>
          </w:p>
        </w:tc>
        <w:tc>
          <w:tcPr>
            <w:tcW w:w="4250" w:type="dxa"/>
            <w:hideMark/>
          </w:tcPr>
          <w:p w:rsidR="00991E7D" w:rsidRPr="00F722D2" w:rsidRDefault="00991E7D" w:rsidP="00F722D2">
            <w:pPr>
              <w:rPr>
                <w:b/>
              </w:rPr>
            </w:pPr>
            <w:r w:rsidRPr="00F722D2">
              <w:rPr>
                <w:b/>
              </w:rPr>
              <w:t>Reason</w:t>
            </w:r>
          </w:p>
        </w:tc>
      </w:tr>
      <w:tr w:rsidR="00991E7D" w:rsidRPr="00991E7D" w:rsidTr="00C63FF0">
        <w:trPr>
          <w:trHeight w:val="300"/>
        </w:trPr>
        <w:tc>
          <w:tcPr>
            <w:tcW w:w="1109" w:type="dxa"/>
            <w:noWrap/>
            <w:hideMark/>
          </w:tcPr>
          <w:p w:rsidR="00991E7D" w:rsidRPr="00991E7D" w:rsidRDefault="00991E7D" w:rsidP="00F722D2">
            <w:r w:rsidRPr="00991E7D">
              <w:t>4193711</w:t>
            </w:r>
          </w:p>
        </w:tc>
        <w:tc>
          <w:tcPr>
            <w:tcW w:w="1136" w:type="dxa"/>
            <w:noWrap/>
            <w:hideMark/>
          </w:tcPr>
          <w:p w:rsidR="00991E7D" w:rsidRPr="00991E7D" w:rsidRDefault="00991E7D" w:rsidP="00F722D2">
            <w:r w:rsidRPr="00991E7D">
              <w:t>60</w:t>
            </w:r>
          </w:p>
        </w:tc>
        <w:tc>
          <w:tcPr>
            <w:tcW w:w="1980" w:type="dxa"/>
            <w:noWrap/>
            <w:hideMark/>
          </w:tcPr>
          <w:p w:rsidR="00991E7D" w:rsidRPr="00991E7D" w:rsidRDefault="00991E7D" w:rsidP="00F722D2">
            <w:r w:rsidRPr="00991E7D">
              <w:t>Elk Basin Gas Plant</w:t>
            </w:r>
          </w:p>
        </w:tc>
        <w:tc>
          <w:tcPr>
            <w:tcW w:w="1870" w:type="dxa"/>
            <w:hideMark/>
          </w:tcPr>
          <w:p w:rsidR="00991E7D" w:rsidRPr="00991E7D" w:rsidRDefault="00991E7D" w:rsidP="00F722D2">
            <w:pPr>
              <w:rPr>
                <w:b/>
                <w:bCs/>
              </w:rPr>
            </w:pPr>
            <w:r w:rsidRPr="00991E7D">
              <w:rPr>
                <w:b/>
                <w:bCs/>
              </w:rPr>
              <w:t>2015NEI</w:t>
            </w:r>
          </w:p>
        </w:tc>
        <w:tc>
          <w:tcPr>
            <w:tcW w:w="4250" w:type="dxa"/>
            <w:hideMark/>
          </w:tcPr>
          <w:p w:rsidR="00991E7D" w:rsidRPr="00991E7D" w:rsidRDefault="00991E7D" w:rsidP="00F722D2">
            <w:r w:rsidRPr="00991E7D">
              <w:t>Much higher flare throughput in 2014. 2</w:t>
            </w:r>
            <w:r w:rsidR="00C63FF0">
              <w:t>015 data is more representative of a typical year.</w:t>
            </w:r>
          </w:p>
        </w:tc>
      </w:tr>
      <w:tr w:rsidR="00991E7D" w:rsidRPr="00991E7D" w:rsidTr="00C63FF0">
        <w:trPr>
          <w:trHeight w:val="300"/>
        </w:trPr>
        <w:tc>
          <w:tcPr>
            <w:tcW w:w="1109" w:type="dxa"/>
            <w:noWrap/>
            <w:hideMark/>
          </w:tcPr>
          <w:p w:rsidR="00991E7D" w:rsidRPr="00991E7D" w:rsidRDefault="00991E7D" w:rsidP="00F722D2">
            <w:r w:rsidRPr="00991E7D">
              <w:t>4208311</w:t>
            </w:r>
          </w:p>
        </w:tc>
        <w:tc>
          <w:tcPr>
            <w:tcW w:w="1136" w:type="dxa"/>
            <w:noWrap/>
            <w:hideMark/>
          </w:tcPr>
          <w:p w:rsidR="00991E7D" w:rsidRPr="00991E7D" w:rsidRDefault="00991E7D" w:rsidP="00F722D2">
            <w:r w:rsidRPr="00991E7D">
              <w:t>191</w:t>
            </w:r>
          </w:p>
        </w:tc>
        <w:tc>
          <w:tcPr>
            <w:tcW w:w="1980" w:type="dxa"/>
            <w:noWrap/>
            <w:hideMark/>
          </w:tcPr>
          <w:p w:rsidR="00991E7D" w:rsidRPr="00991E7D" w:rsidRDefault="00991E7D" w:rsidP="00F722D2">
            <w:r w:rsidRPr="00991E7D">
              <w:t>Carter Creek Gas Plant</w:t>
            </w:r>
          </w:p>
        </w:tc>
        <w:tc>
          <w:tcPr>
            <w:tcW w:w="1870" w:type="dxa"/>
            <w:hideMark/>
          </w:tcPr>
          <w:p w:rsidR="00991E7D" w:rsidRPr="00991E7D" w:rsidRDefault="00991E7D" w:rsidP="00F722D2">
            <w:pPr>
              <w:rPr>
                <w:b/>
                <w:bCs/>
              </w:rPr>
            </w:pPr>
            <w:r w:rsidRPr="00991E7D">
              <w:rPr>
                <w:b/>
                <w:bCs/>
              </w:rPr>
              <w:t>2015NEI</w:t>
            </w:r>
          </w:p>
        </w:tc>
        <w:tc>
          <w:tcPr>
            <w:tcW w:w="4250" w:type="dxa"/>
            <w:hideMark/>
          </w:tcPr>
          <w:p w:rsidR="00991E7D" w:rsidRPr="00991E7D" w:rsidRDefault="00991E7D" w:rsidP="00F722D2">
            <w:r w:rsidRPr="00991E7D">
              <w:t>2015 is most representative of 2011-2017</w:t>
            </w:r>
            <w:r w:rsidR="00C63FF0">
              <w:t>.</w:t>
            </w:r>
          </w:p>
        </w:tc>
      </w:tr>
      <w:tr w:rsidR="00991E7D" w:rsidRPr="00991E7D" w:rsidTr="00C63FF0">
        <w:trPr>
          <w:trHeight w:val="600"/>
        </w:trPr>
        <w:tc>
          <w:tcPr>
            <w:tcW w:w="1109" w:type="dxa"/>
            <w:noWrap/>
            <w:hideMark/>
          </w:tcPr>
          <w:p w:rsidR="00991E7D" w:rsidRPr="00991E7D" w:rsidRDefault="00991E7D" w:rsidP="00F722D2">
            <w:r w:rsidRPr="00991E7D">
              <w:t>4208511</w:t>
            </w:r>
          </w:p>
        </w:tc>
        <w:tc>
          <w:tcPr>
            <w:tcW w:w="1136" w:type="dxa"/>
            <w:noWrap/>
            <w:hideMark/>
          </w:tcPr>
          <w:p w:rsidR="00991E7D" w:rsidRPr="00991E7D" w:rsidRDefault="00991E7D" w:rsidP="00F722D2">
            <w:r w:rsidRPr="00991E7D">
              <w:t>815</w:t>
            </w:r>
          </w:p>
        </w:tc>
        <w:tc>
          <w:tcPr>
            <w:tcW w:w="1980" w:type="dxa"/>
            <w:noWrap/>
            <w:hideMark/>
          </w:tcPr>
          <w:p w:rsidR="00991E7D" w:rsidRPr="00991E7D" w:rsidRDefault="00991E7D" w:rsidP="00F722D2">
            <w:r w:rsidRPr="00991E7D">
              <w:t>Buckskin Mine</w:t>
            </w:r>
          </w:p>
        </w:tc>
        <w:tc>
          <w:tcPr>
            <w:tcW w:w="1870" w:type="dxa"/>
            <w:hideMark/>
          </w:tcPr>
          <w:p w:rsidR="00991E7D" w:rsidRPr="00991E7D" w:rsidRDefault="00991E7D" w:rsidP="00F722D2">
            <w:pPr>
              <w:rPr>
                <w:b/>
                <w:bCs/>
              </w:rPr>
            </w:pPr>
            <w:r w:rsidRPr="00991E7D">
              <w:rPr>
                <w:b/>
                <w:bCs/>
              </w:rPr>
              <w:t>2011NEIV2</w:t>
            </w:r>
          </w:p>
        </w:tc>
        <w:tc>
          <w:tcPr>
            <w:tcW w:w="4250" w:type="dxa"/>
            <w:hideMark/>
          </w:tcPr>
          <w:p w:rsidR="00991E7D" w:rsidRPr="00991E7D" w:rsidRDefault="00991E7D" w:rsidP="00F722D2">
            <w:r w:rsidRPr="00991E7D">
              <w:t>2014 data did not make the NEI dataset</w:t>
            </w:r>
            <w:r w:rsidR="00C63FF0">
              <w:t>.</w:t>
            </w:r>
          </w:p>
        </w:tc>
      </w:tr>
      <w:tr w:rsidR="00991E7D" w:rsidRPr="00991E7D" w:rsidTr="00C63FF0">
        <w:trPr>
          <w:trHeight w:val="600"/>
        </w:trPr>
        <w:tc>
          <w:tcPr>
            <w:tcW w:w="1109" w:type="dxa"/>
            <w:noWrap/>
            <w:hideMark/>
          </w:tcPr>
          <w:p w:rsidR="00991E7D" w:rsidRPr="00991E7D" w:rsidRDefault="00991E7D" w:rsidP="00F722D2">
            <w:r w:rsidRPr="00991E7D">
              <w:t>4786511</w:t>
            </w:r>
          </w:p>
        </w:tc>
        <w:tc>
          <w:tcPr>
            <w:tcW w:w="1136" w:type="dxa"/>
            <w:noWrap/>
            <w:hideMark/>
          </w:tcPr>
          <w:p w:rsidR="00991E7D" w:rsidRPr="00991E7D" w:rsidRDefault="00991E7D" w:rsidP="00F722D2">
            <w:r w:rsidRPr="00991E7D">
              <w:t>532</w:t>
            </w:r>
          </w:p>
        </w:tc>
        <w:tc>
          <w:tcPr>
            <w:tcW w:w="1980" w:type="dxa"/>
            <w:noWrap/>
            <w:hideMark/>
          </w:tcPr>
          <w:p w:rsidR="00991E7D" w:rsidRPr="00991E7D" w:rsidRDefault="00991E7D" w:rsidP="00F722D2">
            <w:r w:rsidRPr="00991E7D">
              <w:t>Lost Cabin Gas Plant</w:t>
            </w:r>
          </w:p>
        </w:tc>
        <w:tc>
          <w:tcPr>
            <w:tcW w:w="1870" w:type="dxa"/>
            <w:hideMark/>
          </w:tcPr>
          <w:p w:rsidR="00991E7D" w:rsidRDefault="00991E7D" w:rsidP="00F722D2">
            <w:pPr>
              <w:rPr>
                <w:b/>
                <w:bCs/>
              </w:rPr>
            </w:pPr>
            <w:r w:rsidRPr="00991E7D">
              <w:rPr>
                <w:b/>
                <w:bCs/>
              </w:rPr>
              <w:t>2016NEI</w:t>
            </w:r>
          </w:p>
          <w:p w:rsidR="00991E7D" w:rsidRPr="00991E7D" w:rsidRDefault="00991E7D" w:rsidP="00F722D2">
            <w:pPr>
              <w:rPr>
                <w:b/>
                <w:bCs/>
              </w:rPr>
            </w:pPr>
            <w:r w:rsidRPr="00991E7D">
              <w:rPr>
                <w:b/>
                <w:bCs/>
              </w:rPr>
              <w:t>_Final_V1</w:t>
            </w:r>
          </w:p>
        </w:tc>
        <w:tc>
          <w:tcPr>
            <w:tcW w:w="4250" w:type="dxa"/>
            <w:hideMark/>
          </w:tcPr>
          <w:p w:rsidR="00991E7D" w:rsidRPr="00991E7D" w:rsidRDefault="00991E7D" w:rsidP="00CD32A6">
            <w:r w:rsidRPr="00991E7D">
              <w:t xml:space="preserve">Significantly higher flare operation in 2014 due to issues with Train 3. 2016 seems to be the most </w:t>
            </w:r>
            <w:r w:rsidR="00CD32A6">
              <w:t xml:space="preserve">representative </w:t>
            </w:r>
            <w:bookmarkStart w:id="0" w:name="_GoBack"/>
            <w:bookmarkEnd w:id="0"/>
            <w:r w:rsidR="00CD32A6">
              <w:t>mean.</w:t>
            </w:r>
          </w:p>
        </w:tc>
      </w:tr>
      <w:tr w:rsidR="00991E7D" w:rsidRPr="00991E7D" w:rsidTr="00C63FF0">
        <w:trPr>
          <w:trHeight w:val="300"/>
        </w:trPr>
        <w:tc>
          <w:tcPr>
            <w:tcW w:w="1109" w:type="dxa"/>
            <w:noWrap/>
            <w:hideMark/>
          </w:tcPr>
          <w:p w:rsidR="00991E7D" w:rsidRPr="00991E7D" w:rsidRDefault="00991E7D" w:rsidP="00F722D2">
            <w:r w:rsidRPr="00991E7D">
              <w:t>4786611</w:t>
            </w:r>
          </w:p>
        </w:tc>
        <w:tc>
          <w:tcPr>
            <w:tcW w:w="1136" w:type="dxa"/>
            <w:noWrap/>
            <w:hideMark/>
          </w:tcPr>
          <w:p w:rsidR="00991E7D" w:rsidRPr="00991E7D" w:rsidRDefault="00991E7D" w:rsidP="00F722D2">
            <w:r w:rsidRPr="00991E7D">
              <w:t>389</w:t>
            </w:r>
          </w:p>
        </w:tc>
        <w:tc>
          <w:tcPr>
            <w:tcW w:w="1980" w:type="dxa"/>
            <w:noWrap/>
            <w:hideMark/>
          </w:tcPr>
          <w:p w:rsidR="00991E7D" w:rsidRPr="00991E7D" w:rsidRDefault="00991E7D" w:rsidP="00F722D2">
            <w:r w:rsidRPr="00991E7D">
              <w:t>Torrington</w:t>
            </w:r>
          </w:p>
        </w:tc>
        <w:tc>
          <w:tcPr>
            <w:tcW w:w="1870" w:type="dxa"/>
            <w:hideMark/>
          </w:tcPr>
          <w:p w:rsidR="00991E7D" w:rsidRPr="00991E7D" w:rsidRDefault="00991E7D" w:rsidP="00F722D2">
            <w:pPr>
              <w:rPr>
                <w:b/>
                <w:bCs/>
              </w:rPr>
            </w:pPr>
            <w:r w:rsidRPr="00991E7D">
              <w:rPr>
                <w:b/>
                <w:bCs/>
              </w:rPr>
              <w:t>2015NEI</w:t>
            </w:r>
          </w:p>
        </w:tc>
        <w:tc>
          <w:tcPr>
            <w:tcW w:w="4250" w:type="dxa"/>
            <w:hideMark/>
          </w:tcPr>
          <w:p w:rsidR="00991E7D" w:rsidRPr="00991E7D" w:rsidRDefault="00991E7D" w:rsidP="00F722D2">
            <w:r w:rsidRPr="00991E7D">
              <w:t>Boiler 4 shut down in 2014, so going forward 2015 is more representative.</w:t>
            </w:r>
          </w:p>
        </w:tc>
      </w:tr>
      <w:tr w:rsidR="00991E7D" w:rsidRPr="00991E7D" w:rsidTr="00C63FF0">
        <w:trPr>
          <w:trHeight w:val="600"/>
        </w:trPr>
        <w:tc>
          <w:tcPr>
            <w:tcW w:w="1109" w:type="dxa"/>
            <w:noWrap/>
            <w:hideMark/>
          </w:tcPr>
          <w:p w:rsidR="00991E7D" w:rsidRPr="00991E7D" w:rsidRDefault="00991E7D" w:rsidP="00F722D2">
            <w:r w:rsidRPr="00991E7D">
              <w:t>4956211</w:t>
            </w:r>
          </w:p>
        </w:tc>
        <w:tc>
          <w:tcPr>
            <w:tcW w:w="1136" w:type="dxa"/>
            <w:noWrap/>
            <w:hideMark/>
          </w:tcPr>
          <w:p w:rsidR="00991E7D" w:rsidRPr="00991E7D" w:rsidRDefault="00991E7D" w:rsidP="00F722D2">
            <w:r w:rsidRPr="00991E7D">
              <w:t>225</w:t>
            </w:r>
          </w:p>
        </w:tc>
        <w:tc>
          <w:tcPr>
            <w:tcW w:w="1980" w:type="dxa"/>
            <w:noWrap/>
            <w:hideMark/>
          </w:tcPr>
          <w:p w:rsidR="00991E7D" w:rsidRPr="00991E7D" w:rsidRDefault="00991E7D" w:rsidP="00F722D2">
            <w:r w:rsidRPr="00991E7D">
              <w:t>Elk Basin Compressor Station</w:t>
            </w:r>
          </w:p>
        </w:tc>
        <w:tc>
          <w:tcPr>
            <w:tcW w:w="1870" w:type="dxa"/>
            <w:hideMark/>
          </w:tcPr>
          <w:p w:rsidR="00991E7D" w:rsidRDefault="00991E7D" w:rsidP="00F722D2">
            <w:pPr>
              <w:rPr>
                <w:b/>
                <w:bCs/>
              </w:rPr>
            </w:pPr>
            <w:r w:rsidRPr="00991E7D">
              <w:rPr>
                <w:b/>
                <w:bCs/>
              </w:rPr>
              <w:t>2016NEI</w:t>
            </w:r>
          </w:p>
          <w:p w:rsidR="00991E7D" w:rsidRPr="00991E7D" w:rsidRDefault="00991E7D" w:rsidP="00F722D2">
            <w:pPr>
              <w:rPr>
                <w:b/>
                <w:bCs/>
              </w:rPr>
            </w:pPr>
            <w:r w:rsidRPr="00991E7D">
              <w:rPr>
                <w:b/>
                <w:bCs/>
              </w:rPr>
              <w:t>_Final_V1</w:t>
            </w:r>
          </w:p>
        </w:tc>
        <w:tc>
          <w:tcPr>
            <w:tcW w:w="4250" w:type="dxa"/>
            <w:hideMark/>
          </w:tcPr>
          <w:p w:rsidR="00991E7D" w:rsidRPr="00991E7D" w:rsidRDefault="00991E7D" w:rsidP="00F722D2">
            <w:r w:rsidRPr="00991E7D">
              <w:t>Dramatic changes in throughput. 2016 is the most reasonable estimation for modeling</w:t>
            </w:r>
            <w:r w:rsidR="0022093A">
              <w:t>.</w:t>
            </w:r>
          </w:p>
        </w:tc>
      </w:tr>
      <w:tr w:rsidR="00991E7D" w:rsidRPr="00991E7D" w:rsidTr="00C63FF0">
        <w:trPr>
          <w:trHeight w:val="300"/>
        </w:trPr>
        <w:tc>
          <w:tcPr>
            <w:tcW w:w="1109" w:type="dxa"/>
            <w:noWrap/>
            <w:hideMark/>
          </w:tcPr>
          <w:p w:rsidR="00991E7D" w:rsidRPr="00991E7D" w:rsidRDefault="00991E7D" w:rsidP="00F722D2">
            <w:r w:rsidRPr="00991E7D">
              <w:t>6512311</w:t>
            </w:r>
          </w:p>
        </w:tc>
        <w:tc>
          <w:tcPr>
            <w:tcW w:w="1136" w:type="dxa"/>
            <w:noWrap/>
            <w:hideMark/>
          </w:tcPr>
          <w:p w:rsidR="00991E7D" w:rsidRPr="00991E7D" w:rsidRDefault="00991E7D" w:rsidP="00F722D2">
            <w:r w:rsidRPr="00991E7D">
              <w:t>758</w:t>
            </w:r>
          </w:p>
        </w:tc>
        <w:tc>
          <w:tcPr>
            <w:tcW w:w="1980" w:type="dxa"/>
            <w:noWrap/>
            <w:hideMark/>
          </w:tcPr>
          <w:p w:rsidR="00991E7D" w:rsidRPr="00991E7D" w:rsidRDefault="00991E7D" w:rsidP="00F722D2">
            <w:r w:rsidRPr="00991E7D">
              <w:t>Sinclair Refinery</w:t>
            </w:r>
          </w:p>
        </w:tc>
        <w:tc>
          <w:tcPr>
            <w:tcW w:w="1870" w:type="dxa"/>
            <w:hideMark/>
          </w:tcPr>
          <w:p w:rsidR="00991E7D" w:rsidRPr="00991E7D" w:rsidRDefault="00991E7D" w:rsidP="00F722D2">
            <w:pPr>
              <w:rPr>
                <w:b/>
                <w:bCs/>
              </w:rPr>
            </w:pPr>
            <w:r w:rsidRPr="00991E7D">
              <w:rPr>
                <w:b/>
                <w:bCs/>
              </w:rPr>
              <w:t>2015NEI</w:t>
            </w:r>
          </w:p>
        </w:tc>
        <w:tc>
          <w:tcPr>
            <w:tcW w:w="4250" w:type="dxa"/>
            <w:hideMark/>
          </w:tcPr>
          <w:p w:rsidR="00991E7D" w:rsidRPr="00991E7D" w:rsidRDefault="00991E7D" w:rsidP="00F722D2">
            <w:r w:rsidRPr="00991E7D">
              <w:t>Coker Flare started up in 2015, 2015 is more representative</w:t>
            </w:r>
          </w:p>
        </w:tc>
      </w:tr>
      <w:tr w:rsidR="00991E7D" w:rsidRPr="00991E7D" w:rsidTr="00C63FF0">
        <w:trPr>
          <w:trHeight w:val="600"/>
        </w:trPr>
        <w:tc>
          <w:tcPr>
            <w:tcW w:w="1109" w:type="dxa"/>
            <w:noWrap/>
            <w:hideMark/>
          </w:tcPr>
          <w:p w:rsidR="00991E7D" w:rsidRPr="00991E7D" w:rsidRDefault="00991E7D" w:rsidP="00F722D2">
            <w:r w:rsidRPr="00991E7D">
              <w:t>6813111</w:t>
            </w:r>
          </w:p>
        </w:tc>
        <w:tc>
          <w:tcPr>
            <w:tcW w:w="1136" w:type="dxa"/>
            <w:noWrap/>
            <w:hideMark/>
          </w:tcPr>
          <w:p w:rsidR="00991E7D" w:rsidRPr="00991E7D" w:rsidRDefault="00991E7D" w:rsidP="00F722D2">
            <w:r w:rsidRPr="00991E7D">
              <w:t>864</w:t>
            </w:r>
          </w:p>
        </w:tc>
        <w:tc>
          <w:tcPr>
            <w:tcW w:w="1980" w:type="dxa"/>
            <w:noWrap/>
            <w:hideMark/>
          </w:tcPr>
          <w:p w:rsidR="00991E7D" w:rsidRPr="00991E7D" w:rsidRDefault="00991E7D" w:rsidP="00F722D2">
            <w:proofErr w:type="spellStart"/>
            <w:r w:rsidRPr="00991E7D">
              <w:t>Hilight</w:t>
            </w:r>
            <w:proofErr w:type="spellEnd"/>
            <w:r w:rsidRPr="00991E7D">
              <w:t xml:space="preserve"> Gas Plant</w:t>
            </w:r>
          </w:p>
        </w:tc>
        <w:tc>
          <w:tcPr>
            <w:tcW w:w="1870" w:type="dxa"/>
            <w:hideMark/>
          </w:tcPr>
          <w:p w:rsidR="00991E7D" w:rsidRDefault="00991E7D" w:rsidP="00F722D2">
            <w:pPr>
              <w:rPr>
                <w:b/>
                <w:bCs/>
              </w:rPr>
            </w:pPr>
            <w:r w:rsidRPr="00991E7D">
              <w:rPr>
                <w:b/>
                <w:bCs/>
              </w:rPr>
              <w:t>2016NEI</w:t>
            </w:r>
          </w:p>
          <w:p w:rsidR="00991E7D" w:rsidRPr="00991E7D" w:rsidRDefault="00991E7D" w:rsidP="00F722D2">
            <w:pPr>
              <w:rPr>
                <w:b/>
                <w:bCs/>
              </w:rPr>
            </w:pPr>
            <w:r w:rsidRPr="00991E7D">
              <w:rPr>
                <w:b/>
                <w:bCs/>
              </w:rPr>
              <w:t>_Final_V1</w:t>
            </w:r>
          </w:p>
        </w:tc>
        <w:tc>
          <w:tcPr>
            <w:tcW w:w="4250" w:type="dxa"/>
            <w:hideMark/>
          </w:tcPr>
          <w:p w:rsidR="00991E7D" w:rsidRPr="00991E7D" w:rsidRDefault="00991E7D" w:rsidP="00F722D2">
            <w:r w:rsidRPr="00991E7D">
              <w:t xml:space="preserve">ENG002 Shut down in 2014, ENG003 and ENG004 Shut Down in 2015. 2016 is more representative for modeling future emissions. </w:t>
            </w:r>
          </w:p>
        </w:tc>
      </w:tr>
      <w:tr w:rsidR="00991E7D" w:rsidRPr="00991E7D" w:rsidTr="00C63FF0">
        <w:trPr>
          <w:trHeight w:val="600"/>
        </w:trPr>
        <w:tc>
          <w:tcPr>
            <w:tcW w:w="1109" w:type="dxa"/>
            <w:noWrap/>
            <w:hideMark/>
          </w:tcPr>
          <w:p w:rsidR="00991E7D" w:rsidRPr="00991E7D" w:rsidRDefault="00991E7D" w:rsidP="00F722D2">
            <w:r w:rsidRPr="00991E7D">
              <w:t>7048611</w:t>
            </w:r>
          </w:p>
        </w:tc>
        <w:tc>
          <w:tcPr>
            <w:tcW w:w="1136" w:type="dxa"/>
            <w:noWrap/>
            <w:hideMark/>
          </w:tcPr>
          <w:p w:rsidR="00991E7D" w:rsidRPr="00991E7D" w:rsidRDefault="00991E7D" w:rsidP="00F722D2">
            <w:r w:rsidRPr="00991E7D">
              <w:t>327</w:t>
            </w:r>
          </w:p>
        </w:tc>
        <w:tc>
          <w:tcPr>
            <w:tcW w:w="1980" w:type="dxa"/>
            <w:noWrap/>
            <w:hideMark/>
          </w:tcPr>
          <w:p w:rsidR="00991E7D" w:rsidRPr="00991E7D" w:rsidRDefault="00991E7D" w:rsidP="00F722D2">
            <w:r w:rsidRPr="00991E7D">
              <w:t>Shute Creek Treating Facility</w:t>
            </w:r>
          </w:p>
        </w:tc>
        <w:tc>
          <w:tcPr>
            <w:tcW w:w="1870" w:type="dxa"/>
            <w:hideMark/>
          </w:tcPr>
          <w:p w:rsidR="00991E7D" w:rsidRPr="00991E7D" w:rsidRDefault="0022093A" w:rsidP="00F722D2">
            <w:pPr>
              <w:rPr>
                <w:b/>
                <w:bCs/>
              </w:rPr>
            </w:pPr>
            <w:r>
              <w:rPr>
                <w:b/>
                <w:bCs/>
              </w:rPr>
              <w:t>2013</w:t>
            </w:r>
            <w:r w:rsidR="00991E7D" w:rsidRPr="00991E7D">
              <w:rPr>
                <w:b/>
                <w:bCs/>
              </w:rPr>
              <w:t>NEIV1</w:t>
            </w:r>
          </w:p>
        </w:tc>
        <w:tc>
          <w:tcPr>
            <w:tcW w:w="4250" w:type="dxa"/>
            <w:hideMark/>
          </w:tcPr>
          <w:p w:rsidR="00991E7D" w:rsidRPr="00991E7D" w:rsidRDefault="00991E7D" w:rsidP="0022093A">
            <w:r w:rsidRPr="00991E7D">
              <w:t>Significantly less flare throughput in 2014 and 2015. 201</w:t>
            </w:r>
            <w:r w:rsidR="0022093A">
              <w:t>3</w:t>
            </w:r>
            <w:r w:rsidRPr="00991E7D">
              <w:t xml:space="preserve"> is more typical operation.</w:t>
            </w:r>
          </w:p>
        </w:tc>
      </w:tr>
      <w:tr w:rsidR="005E0DBC" w:rsidRPr="00991E7D" w:rsidTr="0022093A">
        <w:trPr>
          <w:trHeight w:val="512"/>
        </w:trPr>
        <w:tc>
          <w:tcPr>
            <w:tcW w:w="1109" w:type="dxa"/>
            <w:noWrap/>
            <w:hideMark/>
          </w:tcPr>
          <w:p w:rsidR="005E0DBC" w:rsidRPr="00991E7D" w:rsidRDefault="005E0DBC" w:rsidP="00F722D2">
            <w:r w:rsidRPr="00991E7D">
              <w:t>12813211</w:t>
            </w:r>
          </w:p>
        </w:tc>
        <w:tc>
          <w:tcPr>
            <w:tcW w:w="1136" w:type="dxa"/>
            <w:noWrap/>
            <w:hideMark/>
          </w:tcPr>
          <w:p w:rsidR="005E0DBC" w:rsidRPr="00991E7D" w:rsidRDefault="005E0DBC" w:rsidP="00F722D2">
            <w:r w:rsidRPr="00991E7D">
              <w:t>21196</w:t>
            </w:r>
          </w:p>
        </w:tc>
        <w:tc>
          <w:tcPr>
            <w:tcW w:w="1980" w:type="dxa"/>
            <w:noWrap/>
            <w:hideMark/>
          </w:tcPr>
          <w:p w:rsidR="005E0DBC" w:rsidRPr="00991E7D" w:rsidRDefault="005E0DBC" w:rsidP="00F722D2">
            <w:r w:rsidRPr="00991E7D">
              <w:t>Colony East and West Plants</w:t>
            </w:r>
          </w:p>
        </w:tc>
        <w:tc>
          <w:tcPr>
            <w:tcW w:w="1870" w:type="dxa"/>
            <w:hideMark/>
          </w:tcPr>
          <w:p w:rsidR="005E0DBC" w:rsidRPr="00991E7D" w:rsidRDefault="005E0DBC" w:rsidP="00F722D2">
            <w:pPr>
              <w:rPr>
                <w:b/>
                <w:bCs/>
              </w:rPr>
            </w:pPr>
            <w:r w:rsidRPr="00991E7D">
              <w:rPr>
                <w:b/>
                <w:bCs/>
              </w:rPr>
              <w:t>2015NEI</w:t>
            </w:r>
          </w:p>
        </w:tc>
        <w:tc>
          <w:tcPr>
            <w:tcW w:w="4250" w:type="dxa"/>
            <w:hideMark/>
          </w:tcPr>
          <w:p w:rsidR="005E0DBC" w:rsidRPr="00991E7D" w:rsidRDefault="005E0DBC" w:rsidP="00F722D2">
            <w:r w:rsidRPr="00991E7D">
              <w:t>2015 is most representative of 2011-2015</w:t>
            </w:r>
          </w:p>
        </w:tc>
      </w:tr>
      <w:tr w:rsidR="005E0DBC" w:rsidRPr="00991E7D" w:rsidTr="00C63FF0">
        <w:trPr>
          <w:trHeight w:val="600"/>
        </w:trPr>
        <w:tc>
          <w:tcPr>
            <w:tcW w:w="1109" w:type="dxa"/>
            <w:noWrap/>
            <w:hideMark/>
          </w:tcPr>
          <w:p w:rsidR="005E0DBC" w:rsidRPr="00991E7D" w:rsidRDefault="005E0DBC" w:rsidP="00F722D2">
            <w:r w:rsidRPr="00991E7D">
              <w:t>17307411</w:t>
            </w:r>
          </w:p>
        </w:tc>
        <w:tc>
          <w:tcPr>
            <w:tcW w:w="1136" w:type="dxa"/>
            <w:noWrap/>
            <w:hideMark/>
          </w:tcPr>
          <w:p w:rsidR="005E0DBC" w:rsidRPr="00991E7D" w:rsidRDefault="005E0DBC" w:rsidP="00F722D2">
            <w:r w:rsidRPr="00991E7D">
              <w:t>24912</w:t>
            </w:r>
          </w:p>
        </w:tc>
        <w:tc>
          <w:tcPr>
            <w:tcW w:w="1980" w:type="dxa"/>
            <w:noWrap/>
            <w:hideMark/>
          </w:tcPr>
          <w:p w:rsidR="005E0DBC" w:rsidRPr="00991E7D" w:rsidRDefault="005E0DBC" w:rsidP="00F722D2">
            <w:r w:rsidRPr="00991E7D">
              <w:t>Cheyenne Prairie Generating Station</w:t>
            </w:r>
          </w:p>
        </w:tc>
        <w:tc>
          <w:tcPr>
            <w:tcW w:w="1870" w:type="dxa"/>
            <w:hideMark/>
          </w:tcPr>
          <w:p w:rsidR="005E0DBC" w:rsidRDefault="005E0DBC" w:rsidP="00F722D2">
            <w:pPr>
              <w:rPr>
                <w:b/>
                <w:bCs/>
              </w:rPr>
            </w:pPr>
            <w:r w:rsidRPr="00991E7D">
              <w:rPr>
                <w:b/>
                <w:bCs/>
              </w:rPr>
              <w:t>2016NEI</w:t>
            </w:r>
          </w:p>
          <w:p w:rsidR="005E0DBC" w:rsidRPr="00991E7D" w:rsidRDefault="005E0DBC" w:rsidP="00F722D2">
            <w:pPr>
              <w:rPr>
                <w:b/>
                <w:bCs/>
              </w:rPr>
            </w:pPr>
            <w:r w:rsidRPr="00991E7D">
              <w:rPr>
                <w:b/>
                <w:bCs/>
              </w:rPr>
              <w:t>_Final_V1</w:t>
            </w:r>
          </w:p>
        </w:tc>
        <w:tc>
          <w:tcPr>
            <w:tcW w:w="4250" w:type="dxa"/>
            <w:hideMark/>
          </w:tcPr>
          <w:p w:rsidR="005E0DBC" w:rsidRPr="00991E7D" w:rsidRDefault="0022093A" w:rsidP="00F722D2">
            <w:r>
              <w:t>Started up m</w:t>
            </w:r>
            <w:r w:rsidR="005E0DBC" w:rsidRPr="00991E7D">
              <w:t>id 2014</w:t>
            </w:r>
          </w:p>
        </w:tc>
      </w:tr>
      <w:tr w:rsidR="00F722D2" w:rsidRPr="00F722D2" w:rsidTr="00C63FF0">
        <w:trPr>
          <w:trHeight w:val="300"/>
        </w:trPr>
        <w:tc>
          <w:tcPr>
            <w:tcW w:w="1109" w:type="dxa"/>
            <w:noWrap/>
            <w:hideMark/>
          </w:tcPr>
          <w:p w:rsidR="00F722D2" w:rsidRPr="00F722D2" w:rsidRDefault="00F722D2" w:rsidP="00F722D2">
            <w:pPr>
              <w:rPr>
                <w:rFonts w:ascii="Calibri" w:eastAsia="Times New Roman" w:hAnsi="Calibri" w:cs="Times New Roman"/>
                <w:color w:val="000000"/>
              </w:rPr>
            </w:pPr>
            <w:r w:rsidRPr="00F722D2">
              <w:rPr>
                <w:rFonts w:ascii="Calibri" w:eastAsia="Times New Roman" w:hAnsi="Calibri" w:cs="Times New Roman"/>
                <w:color w:val="000000"/>
              </w:rPr>
              <w:lastRenderedPageBreak/>
              <w:t>4208911</w:t>
            </w:r>
          </w:p>
        </w:tc>
        <w:tc>
          <w:tcPr>
            <w:tcW w:w="1136" w:type="dxa"/>
            <w:noWrap/>
            <w:hideMark/>
          </w:tcPr>
          <w:p w:rsidR="00F722D2" w:rsidRPr="00F722D2" w:rsidRDefault="00F722D2" w:rsidP="00F722D2">
            <w:pPr>
              <w:rPr>
                <w:rFonts w:ascii="Calibri" w:eastAsia="Times New Roman" w:hAnsi="Calibri" w:cs="Times New Roman"/>
                <w:color w:val="000000"/>
              </w:rPr>
            </w:pPr>
            <w:r w:rsidRPr="00F722D2">
              <w:rPr>
                <w:rFonts w:ascii="Calibri" w:eastAsia="Times New Roman" w:hAnsi="Calibri" w:cs="Times New Roman"/>
                <w:color w:val="000000"/>
              </w:rPr>
              <w:t>828</w:t>
            </w:r>
          </w:p>
        </w:tc>
        <w:tc>
          <w:tcPr>
            <w:tcW w:w="1980" w:type="dxa"/>
            <w:noWrap/>
            <w:hideMark/>
          </w:tcPr>
          <w:p w:rsidR="00F722D2" w:rsidRPr="00F722D2" w:rsidRDefault="00F722D2" w:rsidP="00F722D2">
            <w:pPr>
              <w:rPr>
                <w:rFonts w:ascii="Calibri" w:eastAsia="Times New Roman" w:hAnsi="Calibri" w:cs="Times New Roman"/>
                <w:color w:val="000000"/>
              </w:rPr>
            </w:pPr>
            <w:r w:rsidRPr="00F722D2">
              <w:rPr>
                <w:rFonts w:ascii="Calibri" w:eastAsia="Times New Roman" w:hAnsi="Calibri" w:cs="Times New Roman"/>
                <w:color w:val="000000"/>
              </w:rPr>
              <w:t>Emigrant Trail Gas Plant</w:t>
            </w:r>
          </w:p>
        </w:tc>
        <w:tc>
          <w:tcPr>
            <w:tcW w:w="1870" w:type="dxa"/>
            <w:hideMark/>
          </w:tcPr>
          <w:p w:rsidR="00F722D2" w:rsidRPr="00F722D2" w:rsidRDefault="00F722D2" w:rsidP="00F722D2">
            <w:pPr>
              <w:rPr>
                <w:rFonts w:ascii="Calibri" w:eastAsia="Times New Roman" w:hAnsi="Calibri" w:cs="Times New Roman"/>
                <w:b/>
                <w:bCs/>
                <w:color w:val="000000"/>
              </w:rPr>
            </w:pPr>
            <w:r w:rsidRPr="00F722D2">
              <w:rPr>
                <w:rFonts w:ascii="Calibri" w:eastAsia="Times New Roman" w:hAnsi="Calibri" w:cs="Times New Roman"/>
                <w:b/>
                <w:bCs/>
                <w:color w:val="000000"/>
              </w:rPr>
              <w:t>2015NEI</w:t>
            </w:r>
          </w:p>
        </w:tc>
        <w:tc>
          <w:tcPr>
            <w:tcW w:w="4250" w:type="dxa"/>
            <w:noWrap/>
            <w:hideMark/>
          </w:tcPr>
          <w:p w:rsidR="00F722D2" w:rsidRPr="00F722D2" w:rsidRDefault="00F722D2" w:rsidP="00F722D2">
            <w:pPr>
              <w:rPr>
                <w:rFonts w:ascii="Calibri" w:eastAsia="Times New Roman" w:hAnsi="Calibri" w:cs="Times New Roman"/>
                <w:color w:val="000000"/>
              </w:rPr>
            </w:pPr>
            <w:r w:rsidRPr="00F722D2">
              <w:rPr>
                <w:rFonts w:ascii="Calibri" w:eastAsia="Times New Roman" w:hAnsi="Calibri" w:cs="Times New Roman"/>
                <w:color w:val="000000"/>
              </w:rPr>
              <w:t>2014 has decreased throughput. 2015 is more representative</w:t>
            </w:r>
            <w:r w:rsidR="0022093A">
              <w:rPr>
                <w:rFonts w:ascii="Calibri" w:eastAsia="Times New Roman" w:hAnsi="Calibri" w:cs="Times New Roman"/>
                <w:color w:val="000000"/>
              </w:rPr>
              <w:t>.</w:t>
            </w:r>
          </w:p>
        </w:tc>
      </w:tr>
      <w:tr w:rsidR="00F722D2" w:rsidRPr="00F722D2" w:rsidTr="00C63FF0">
        <w:trPr>
          <w:trHeight w:val="300"/>
        </w:trPr>
        <w:tc>
          <w:tcPr>
            <w:tcW w:w="1109" w:type="dxa"/>
            <w:noWrap/>
            <w:hideMark/>
          </w:tcPr>
          <w:p w:rsidR="00F722D2" w:rsidRPr="00F722D2" w:rsidRDefault="00F722D2" w:rsidP="00F722D2">
            <w:pPr>
              <w:rPr>
                <w:rFonts w:ascii="Calibri" w:eastAsia="Times New Roman" w:hAnsi="Calibri" w:cs="Times New Roman"/>
                <w:color w:val="000000"/>
              </w:rPr>
            </w:pPr>
            <w:r w:rsidRPr="00F722D2">
              <w:rPr>
                <w:rFonts w:ascii="Calibri" w:eastAsia="Times New Roman" w:hAnsi="Calibri" w:cs="Times New Roman"/>
                <w:color w:val="000000"/>
              </w:rPr>
              <w:t>12809611</w:t>
            </w:r>
          </w:p>
        </w:tc>
        <w:tc>
          <w:tcPr>
            <w:tcW w:w="1136" w:type="dxa"/>
            <w:noWrap/>
            <w:hideMark/>
          </w:tcPr>
          <w:p w:rsidR="00F722D2" w:rsidRPr="00F722D2" w:rsidRDefault="00F722D2" w:rsidP="00F722D2">
            <w:pPr>
              <w:rPr>
                <w:rFonts w:ascii="Calibri" w:eastAsia="Times New Roman" w:hAnsi="Calibri" w:cs="Times New Roman"/>
                <w:color w:val="000000"/>
              </w:rPr>
            </w:pPr>
            <w:r w:rsidRPr="00F722D2">
              <w:rPr>
                <w:rFonts w:ascii="Calibri" w:eastAsia="Times New Roman" w:hAnsi="Calibri" w:cs="Times New Roman"/>
                <w:color w:val="000000"/>
              </w:rPr>
              <w:t>832</w:t>
            </w:r>
          </w:p>
        </w:tc>
        <w:tc>
          <w:tcPr>
            <w:tcW w:w="1980" w:type="dxa"/>
            <w:noWrap/>
            <w:hideMark/>
          </w:tcPr>
          <w:p w:rsidR="00F722D2" w:rsidRPr="00F722D2" w:rsidRDefault="00F722D2" w:rsidP="00F722D2">
            <w:pPr>
              <w:rPr>
                <w:rFonts w:ascii="Calibri" w:eastAsia="Times New Roman" w:hAnsi="Calibri" w:cs="Times New Roman"/>
                <w:color w:val="000000"/>
              </w:rPr>
            </w:pPr>
            <w:r w:rsidRPr="00F722D2">
              <w:rPr>
                <w:rFonts w:ascii="Calibri" w:eastAsia="Times New Roman" w:hAnsi="Calibri" w:cs="Times New Roman"/>
                <w:color w:val="000000"/>
              </w:rPr>
              <w:t>Heat Plant</w:t>
            </w:r>
          </w:p>
        </w:tc>
        <w:tc>
          <w:tcPr>
            <w:tcW w:w="1870" w:type="dxa"/>
            <w:hideMark/>
          </w:tcPr>
          <w:p w:rsidR="00F722D2" w:rsidRPr="00F722D2" w:rsidRDefault="00F722D2" w:rsidP="00F722D2">
            <w:pPr>
              <w:rPr>
                <w:rFonts w:ascii="Calibri" w:eastAsia="Times New Roman" w:hAnsi="Calibri" w:cs="Times New Roman"/>
                <w:b/>
                <w:bCs/>
                <w:color w:val="000000"/>
              </w:rPr>
            </w:pPr>
            <w:r w:rsidRPr="00F722D2">
              <w:rPr>
                <w:rFonts w:ascii="Calibri" w:eastAsia="Times New Roman" w:hAnsi="Calibri" w:cs="Times New Roman"/>
                <w:b/>
                <w:bCs/>
                <w:color w:val="000000"/>
              </w:rPr>
              <w:t>2015NEI</w:t>
            </w:r>
          </w:p>
        </w:tc>
        <w:tc>
          <w:tcPr>
            <w:tcW w:w="4250" w:type="dxa"/>
            <w:noWrap/>
            <w:hideMark/>
          </w:tcPr>
          <w:p w:rsidR="00F722D2" w:rsidRPr="00F722D2" w:rsidRDefault="00F722D2" w:rsidP="00F722D2">
            <w:pPr>
              <w:rPr>
                <w:rFonts w:ascii="Calibri" w:eastAsia="Times New Roman" w:hAnsi="Calibri" w:cs="Times New Roman"/>
                <w:color w:val="000000"/>
              </w:rPr>
            </w:pPr>
            <w:r w:rsidRPr="00F722D2">
              <w:rPr>
                <w:rFonts w:ascii="Calibri" w:eastAsia="Times New Roman" w:hAnsi="Calibri" w:cs="Times New Roman"/>
                <w:color w:val="000000"/>
              </w:rPr>
              <w:t>2015 is most representative of 2011-2017</w:t>
            </w:r>
          </w:p>
        </w:tc>
      </w:tr>
      <w:tr w:rsidR="00C678BC" w:rsidRPr="00C678BC" w:rsidTr="00C63FF0">
        <w:trPr>
          <w:trHeight w:val="600"/>
        </w:trPr>
        <w:tc>
          <w:tcPr>
            <w:tcW w:w="1109" w:type="dxa"/>
            <w:noWrap/>
            <w:hideMark/>
          </w:tcPr>
          <w:p w:rsidR="00C678BC" w:rsidRPr="00C678BC" w:rsidRDefault="00C678BC" w:rsidP="00F85B7C">
            <w:pPr>
              <w:rPr>
                <w:rFonts w:ascii="Calibri" w:eastAsia="Times New Roman" w:hAnsi="Calibri" w:cs="Times New Roman"/>
                <w:color w:val="000000"/>
              </w:rPr>
            </w:pPr>
            <w:r w:rsidRPr="00C678BC">
              <w:rPr>
                <w:rFonts w:ascii="Calibri" w:eastAsia="Times New Roman" w:hAnsi="Calibri" w:cs="Times New Roman"/>
                <w:color w:val="000000"/>
              </w:rPr>
              <w:t>8419211</w:t>
            </w:r>
          </w:p>
        </w:tc>
        <w:tc>
          <w:tcPr>
            <w:tcW w:w="1136" w:type="dxa"/>
            <w:noWrap/>
            <w:hideMark/>
          </w:tcPr>
          <w:p w:rsidR="00C678BC" w:rsidRPr="00C678BC" w:rsidRDefault="00C678BC" w:rsidP="00F85B7C">
            <w:pPr>
              <w:rPr>
                <w:rFonts w:ascii="Calibri" w:eastAsia="Times New Roman" w:hAnsi="Calibri" w:cs="Times New Roman"/>
                <w:color w:val="000000"/>
              </w:rPr>
            </w:pPr>
            <w:r w:rsidRPr="00C678BC">
              <w:rPr>
                <w:rFonts w:ascii="Calibri" w:eastAsia="Times New Roman" w:hAnsi="Calibri" w:cs="Times New Roman"/>
                <w:color w:val="000000"/>
              </w:rPr>
              <w:t>647</w:t>
            </w:r>
          </w:p>
        </w:tc>
        <w:tc>
          <w:tcPr>
            <w:tcW w:w="1980" w:type="dxa"/>
            <w:noWrap/>
            <w:hideMark/>
          </w:tcPr>
          <w:p w:rsidR="00C678BC" w:rsidRPr="00C678BC" w:rsidRDefault="00C678BC" w:rsidP="00F85B7C">
            <w:pPr>
              <w:rPr>
                <w:rFonts w:ascii="Calibri" w:eastAsia="Times New Roman" w:hAnsi="Calibri" w:cs="Times New Roman"/>
                <w:color w:val="000000"/>
              </w:rPr>
            </w:pPr>
            <w:proofErr w:type="spellStart"/>
            <w:r w:rsidRPr="00C678BC">
              <w:rPr>
                <w:rFonts w:ascii="Calibri" w:eastAsia="Times New Roman" w:hAnsi="Calibri" w:cs="Times New Roman"/>
                <w:color w:val="000000"/>
              </w:rPr>
              <w:t>Naughton</w:t>
            </w:r>
            <w:proofErr w:type="spellEnd"/>
            <w:r w:rsidRPr="00C678BC">
              <w:rPr>
                <w:rFonts w:ascii="Calibri" w:eastAsia="Times New Roman" w:hAnsi="Calibri" w:cs="Times New Roman"/>
                <w:color w:val="000000"/>
              </w:rPr>
              <w:t xml:space="preserve"> Plant</w:t>
            </w:r>
          </w:p>
        </w:tc>
        <w:tc>
          <w:tcPr>
            <w:tcW w:w="1870" w:type="dxa"/>
            <w:hideMark/>
          </w:tcPr>
          <w:p w:rsidR="00C678BC" w:rsidRPr="00C678BC" w:rsidRDefault="00C678BC" w:rsidP="00F85B7C">
            <w:pPr>
              <w:rPr>
                <w:rFonts w:ascii="Calibri" w:eastAsia="Times New Roman" w:hAnsi="Calibri" w:cs="Times New Roman"/>
                <w:b/>
                <w:bCs/>
                <w:color w:val="000000"/>
              </w:rPr>
            </w:pPr>
            <w:r w:rsidRPr="00C678BC">
              <w:rPr>
                <w:rFonts w:ascii="Calibri" w:eastAsia="Times New Roman" w:hAnsi="Calibri" w:cs="Times New Roman"/>
                <w:b/>
                <w:bCs/>
                <w:color w:val="000000"/>
              </w:rPr>
              <w:t>2016NEI_Final_V1</w:t>
            </w:r>
          </w:p>
        </w:tc>
        <w:tc>
          <w:tcPr>
            <w:tcW w:w="4250" w:type="dxa"/>
            <w:noWrap/>
            <w:hideMark/>
          </w:tcPr>
          <w:p w:rsidR="00C678BC" w:rsidRPr="00C678BC" w:rsidRDefault="00C678BC" w:rsidP="00F85B7C">
            <w:pPr>
              <w:rPr>
                <w:rFonts w:ascii="Calibri" w:eastAsia="Times New Roman" w:hAnsi="Calibri" w:cs="Times New Roman"/>
                <w:color w:val="000000"/>
              </w:rPr>
            </w:pPr>
            <w:r w:rsidRPr="00C678BC">
              <w:rPr>
                <w:rFonts w:ascii="Calibri" w:eastAsia="Times New Roman" w:hAnsi="Calibri" w:cs="Times New Roman"/>
                <w:color w:val="000000"/>
              </w:rPr>
              <w:t>Due to facility changes, 2016 is more representative for modeling into the future</w:t>
            </w:r>
            <w:r w:rsidR="0022093A">
              <w:rPr>
                <w:rFonts w:ascii="Calibri" w:eastAsia="Times New Roman" w:hAnsi="Calibri" w:cs="Times New Roman"/>
                <w:color w:val="000000"/>
              </w:rPr>
              <w:t>.</w:t>
            </w:r>
          </w:p>
        </w:tc>
      </w:tr>
    </w:tbl>
    <w:p w:rsidR="00991E7D" w:rsidRDefault="00991E7D"/>
    <w:p w:rsidR="007A7409" w:rsidRDefault="007A7409"/>
    <w:p w:rsidR="007A7409" w:rsidRDefault="00BD3009">
      <w:r>
        <w:t xml:space="preserve">Neil Simpson One </w:t>
      </w:r>
      <w:r w:rsidR="005E0DBC">
        <w:t xml:space="preserve">(Facility 133) was shut down in early 2014, so it should be removed from future modeling. </w:t>
      </w:r>
    </w:p>
    <w:p w:rsidR="000E44F6" w:rsidRDefault="000E44F6"/>
    <w:p w:rsidR="000E44F6" w:rsidRPr="001770FD" w:rsidRDefault="00B77555">
      <w:r>
        <w:t>Table Rock Gas Plant (Facility 217</w:t>
      </w:r>
      <w:r w:rsidR="00DA5349">
        <w:t xml:space="preserve">) was shut down in early 2014, so it should be removed from future modeling. </w:t>
      </w:r>
    </w:p>
    <w:sectPr w:rsidR="000E44F6" w:rsidRPr="00177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95"/>
    <w:rsid w:val="000E44F6"/>
    <w:rsid w:val="00165891"/>
    <w:rsid w:val="001770FD"/>
    <w:rsid w:val="0022093A"/>
    <w:rsid w:val="005E0DBC"/>
    <w:rsid w:val="00632922"/>
    <w:rsid w:val="007A6B95"/>
    <w:rsid w:val="007A7409"/>
    <w:rsid w:val="008603FC"/>
    <w:rsid w:val="00922335"/>
    <w:rsid w:val="00957AFD"/>
    <w:rsid w:val="00991E7D"/>
    <w:rsid w:val="00B534F6"/>
    <w:rsid w:val="00B77555"/>
    <w:rsid w:val="00BA160A"/>
    <w:rsid w:val="00BD3009"/>
    <w:rsid w:val="00C63FF0"/>
    <w:rsid w:val="00C678BC"/>
    <w:rsid w:val="00CD32A6"/>
    <w:rsid w:val="00D4568E"/>
    <w:rsid w:val="00DA5349"/>
    <w:rsid w:val="00F722D2"/>
    <w:rsid w:val="00F8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60BF"/>
  <w15:chartTrackingRefBased/>
  <w15:docId w15:val="{117DA81E-5095-458A-8B8C-BB89A345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3599">
      <w:bodyDiv w:val="1"/>
      <w:marLeft w:val="0"/>
      <w:marRight w:val="0"/>
      <w:marTop w:val="0"/>
      <w:marBottom w:val="0"/>
      <w:divBdr>
        <w:top w:val="none" w:sz="0" w:space="0" w:color="auto"/>
        <w:left w:val="none" w:sz="0" w:space="0" w:color="auto"/>
        <w:bottom w:val="none" w:sz="0" w:space="0" w:color="auto"/>
        <w:right w:val="none" w:sz="0" w:space="0" w:color="auto"/>
      </w:divBdr>
    </w:div>
    <w:div w:id="892738685">
      <w:bodyDiv w:val="1"/>
      <w:marLeft w:val="0"/>
      <w:marRight w:val="0"/>
      <w:marTop w:val="0"/>
      <w:marBottom w:val="0"/>
      <w:divBdr>
        <w:top w:val="none" w:sz="0" w:space="0" w:color="auto"/>
        <w:left w:val="none" w:sz="0" w:space="0" w:color="auto"/>
        <w:bottom w:val="none" w:sz="0" w:space="0" w:color="auto"/>
        <w:right w:val="none" w:sz="0" w:space="0" w:color="auto"/>
      </w:divBdr>
    </w:div>
    <w:div w:id="1116176167">
      <w:bodyDiv w:val="1"/>
      <w:marLeft w:val="0"/>
      <w:marRight w:val="0"/>
      <w:marTop w:val="0"/>
      <w:marBottom w:val="0"/>
      <w:divBdr>
        <w:top w:val="none" w:sz="0" w:space="0" w:color="auto"/>
        <w:left w:val="none" w:sz="0" w:space="0" w:color="auto"/>
        <w:bottom w:val="none" w:sz="0" w:space="0" w:color="auto"/>
        <w:right w:val="none" w:sz="0" w:space="0" w:color="auto"/>
      </w:divBdr>
    </w:div>
    <w:div w:id="1275207457">
      <w:bodyDiv w:val="1"/>
      <w:marLeft w:val="0"/>
      <w:marRight w:val="0"/>
      <w:marTop w:val="0"/>
      <w:marBottom w:val="0"/>
      <w:divBdr>
        <w:top w:val="none" w:sz="0" w:space="0" w:color="auto"/>
        <w:left w:val="none" w:sz="0" w:space="0" w:color="auto"/>
        <w:bottom w:val="none" w:sz="0" w:space="0" w:color="auto"/>
        <w:right w:val="none" w:sz="0" w:space="0" w:color="auto"/>
      </w:divBdr>
    </w:div>
    <w:div w:id="1347100153">
      <w:bodyDiv w:val="1"/>
      <w:marLeft w:val="0"/>
      <w:marRight w:val="0"/>
      <w:marTop w:val="0"/>
      <w:marBottom w:val="0"/>
      <w:divBdr>
        <w:top w:val="none" w:sz="0" w:space="0" w:color="auto"/>
        <w:left w:val="none" w:sz="0" w:space="0" w:color="auto"/>
        <w:bottom w:val="none" w:sz="0" w:space="0" w:color="auto"/>
        <w:right w:val="none" w:sz="0" w:space="0" w:color="auto"/>
      </w:divBdr>
    </w:div>
    <w:div w:id="1945961287">
      <w:bodyDiv w:val="1"/>
      <w:marLeft w:val="0"/>
      <w:marRight w:val="0"/>
      <w:marTop w:val="0"/>
      <w:marBottom w:val="0"/>
      <w:divBdr>
        <w:top w:val="none" w:sz="0" w:space="0" w:color="auto"/>
        <w:left w:val="none" w:sz="0" w:space="0" w:color="auto"/>
        <w:bottom w:val="none" w:sz="0" w:space="0" w:color="auto"/>
        <w:right w:val="none" w:sz="0" w:space="0" w:color="auto"/>
      </w:divBdr>
    </w:div>
    <w:div w:id="21207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Wyoming</dc:creator>
  <cp:keywords/>
  <dc:description/>
  <cp:lastModifiedBy>State Of Wyoming</cp:lastModifiedBy>
  <cp:revision>8</cp:revision>
  <dcterms:created xsi:type="dcterms:W3CDTF">2018-06-14T15:04:00Z</dcterms:created>
  <dcterms:modified xsi:type="dcterms:W3CDTF">2018-06-14T19:40:00Z</dcterms:modified>
</cp:coreProperties>
</file>